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rPr>
          <w:rFonts w:hint="default" w:ascii="Calibri" w:hAnsi="Calibri" w:cs="Calibri"/>
          <w:b/>
          <w:sz w:val="22"/>
          <w:szCs w:val="22"/>
        </w:rPr>
      </w:pPr>
      <w:r>
        <w:rPr>
          <w:rFonts w:hint="default" w:ascii="Calibri" w:hAnsi="Calibri" w:cs="Calibri"/>
          <w:b/>
          <w:sz w:val="22"/>
          <w:szCs w:val="22"/>
        </w:rPr>
        <w:t>Document behandeltarieven</w:t>
      </w:r>
      <w:r>
        <w:rPr>
          <w:rFonts w:hint="default" w:ascii="Calibri" w:hAnsi="Calibri" w:cs="Calibri"/>
          <w:b/>
          <w:color w:val="FF0000"/>
          <w:sz w:val="22"/>
          <w:szCs w:val="22"/>
        </w:rPr>
        <w:t xml:space="preserve"> </w:t>
      </w:r>
      <w:r>
        <w:rPr>
          <w:rFonts w:hint="default" w:ascii="Calibri" w:hAnsi="Calibri" w:cs="Calibri"/>
          <w:b/>
          <w:sz w:val="22"/>
          <w:szCs w:val="22"/>
        </w:rPr>
        <w:t>202</w:t>
      </w:r>
      <w:r>
        <w:rPr>
          <w:rFonts w:hint="default" w:ascii="Calibri" w:hAnsi="Calibri" w:cs="Calibri"/>
          <w:b/>
          <w:sz w:val="22"/>
          <w:szCs w:val="22"/>
          <w:lang w:val="nl-NL"/>
        </w:rPr>
        <w:t>4</w:t>
      </w:r>
    </w:p>
    <w:p>
      <w:pPr>
        <w:rPr>
          <w:rFonts w:hint="default" w:ascii="Calibri" w:hAnsi="Calibri" w:cs="Calibri"/>
          <w:b/>
          <w:sz w:val="22"/>
          <w:szCs w:val="22"/>
        </w:rPr>
      </w:pPr>
    </w:p>
    <w:p>
      <w:pPr>
        <w:rPr>
          <w:rFonts w:hint="default" w:ascii="Calibri" w:hAnsi="Calibri" w:cs="Calibri"/>
          <w:sz w:val="22"/>
          <w:szCs w:val="22"/>
        </w:rPr>
      </w:pPr>
      <w:r>
        <w:rPr>
          <w:rFonts w:hint="default" w:ascii="Calibri" w:hAnsi="Calibri" w:cs="Calibri"/>
          <w:b/>
          <w:sz w:val="22"/>
          <w:szCs w:val="22"/>
        </w:rPr>
        <w:t>Tarieven ongecontracteerde zorg</w:t>
      </w:r>
      <w:r>
        <w:rPr>
          <w:rFonts w:hint="default" w:ascii="Calibri" w:hAnsi="Calibri" w:cs="Calibri"/>
          <w:b/>
          <w:sz w:val="22"/>
          <w:szCs w:val="22"/>
        </w:rPr>
        <w:br w:type="textWrapping"/>
      </w:r>
      <w:r>
        <w:rPr>
          <w:rFonts w:hint="default" w:ascii="Calibri" w:hAnsi="Calibri" w:cs="Calibri"/>
          <w:sz w:val="22"/>
          <w:szCs w:val="22"/>
        </w:rPr>
        <w:t xml:space="preserve">Voor verzekeraars waarmee ik geen contract(en) heb afgesloten hanteer ik in mijn praktijk </w:t>
      </w:r>
      <w:r>
        <w:rPr>
          <w:rFonts w:hint="default" w:ascii="Calibri" w:hAnsi="Calibri" w:cs="Calibri"/>
          <w:sz w:val="22"/>
          <w:szCs w:val="22"/>
          <w:lang w:val="nl-NL"/>
        </w:rPr>
        <w:t>100</w:t>
      </w:r>
      <w:r>
        <w:rPr>
          <w:rFonts w:hint="default" w:ascii="Calibri" w:hAnsi="Calibri" w:cs="Calibri"/>
          <w:sz w:val="22"/>
          <w:szCs w:val="22"/>
        </w:rPr>
        <w:t xml:space="preserve"> % van de bijgevoegde door de NZa vastgestelde maximumtarieven voor de gz-psycholoog.</w:t>
      </w:r>
    </w:p>
    <w:p>
      <w:pPr>
        <w:pStyle w:val="16"/>
        <w:numPr>
          <w:ilvl w:val="0"/>
          <w:numId w:val="0"/>
        </w:numPr>
        <w:rPr>
          <w:rFonts w:hint="default" w:ascii="Calibri" w:hAnsi="Calibri" w:cs="Calibri"/>
          <w:sz w:val="22"/>
          <w:szCs w:val="22"/>
        </w:rPr>
      </w:pPr>
      <w:r>
        <w:rPr>
          <w:rFonts w:hint="default" w:ascii="Calibri" w:hAnsi="Calibri" w:cs="Calibri"/>
          <w:sz w:val="22"/>
          <w:szCs w:val="22"/>
        </w:rPr>
        <w:t xml:space="preserve">Voor verzekeraars waarmee ik geen contract(en) heb afgesloten hanteer ik in mijn praktijk  </w:t>
      </w:r>
      <w:r>
        <w:rPr>
          <w:rFonts w:hint="default" w:ascii="Calibri" w:hAnsi="Calibri" w:cs="Calibri"/>
          <w:sz w:val="22"/>
          <w:szCs w:val="22"/>
          <w:lang w:val="nl-NL"/>
        </w:rPr>
        <w:t>100</w:t>
      </w:r>
      <w:r>
        <w:rPr>
          <w:rFonts w:hint="default" w:ascii="Calibri" w:hAnsi="Calibri" w:cs="Calibri"/>
          <w:sz w:val="22"/>
          <w:szCs w:val="22"/>
        </w:rPr>
        <w:t xml:space="preserve"> % van de bijgevoegde door de NZa vastgestelde maximumtarieven voor de psychotherapeut.</w:t>
      </w:r>
    </w:p>
    <w:p>
      <w:pPr>
        <w:bidi w:val="0"/>
        <w:rPr>
          <w:rFonts w:hint="default" w:ascii="Calibri" w:hAnsi="Calibri" w:cs="Calibri"/>
          <w:sz w:val="22"/>
          <w:szCs w:val="22"/>
        </w:rPr>
      </w:pPr>
    </w:p>
    <w:p>
      <w:pPr>
        <w:bidi w:val="0"/>
        <w:rPr>
          <w:rFonts w:hint="default" w:ascii="Calibri" w:hAnsi="Calibri" w:cs="Calibri"/>
          <w:b/>
          <w:bCs/>
          <w:sz w:val="22"/>
          <w:szCs w:val="22"/>
        </w:rPr>
      </w:pPr>
      <w:r>
        <w:rPr>
          <w:rFonts w:hint="default" w:ascii="Calibri" w:hAnsi="Calibri" w:cs="Calibri"/>
          <w:b/>
          <w:bCs/>
          <w:sz w:val="22"/>
          <w:szCs w:val="22"/>
        </w:rPr>
        <w:t>Tarief consult zelfbetalers(niet basispakketzorg)</w:t>
      </w:r>
    </w:p>
    <w:p>
      <w:pPr>
        <w:bidi w:val="0"/>
        <w:rPr>
          <w:rFonts w:hint="default" w:ascii="Calibri" w:hAnsi="Calibri" w:cs="Calibri"/>
          <w:sz w:val="22"/>
          <w:szCs w:val="22"/>
        </w:rPr>
      </w:pPr>
      <w:r>
        <w:rPr>
          <w:rFonts w:hint="default" w:ascii="Calibri" w:hAnsi="Calibri" w:cs="Calibri"/>
          <w:sz w:val="22"/>
          <w:szCs w:val="22"/>
          <w:lang w:val="nl-NL"/>
        </w:rPr>
        <w:t>H</w:t>
      </w:r>
      <w:r>
        <w:rPr>
          <w:rFonts w:hint="default" w:ascii="Calibri" w:hAnsi="Calibri" w:cs="Calibri"/>
          <w:sz w:val="22"/>
          <w:szCs w:val="22"/>
        </w:rPr>
        <w:t>et tarief in mijn praktijk voor de prestatie‘niet-basispakketzorg consult</w:t>
      </w:r>
      <w:r>
        <w:rPr>
          <w:rFonts w:hint="default" w:ascii="Calibri" w:hAnsi="Calibri" w:cs="Calibri"/>
          <w:sz w:val="22"/>
          <w:szCs w:val="22"/>
          <w:lang w:val="nl-NL"/>
        </w:rPr>
        <w:t xml:space="preserve"> </w:t>
      </w:r>
      <w:r>
        <w:rPr>
          <w:rFonts w:hint="default" w:ascii="Calibri" w:hAnsi="Calibri" w:cs="Calibri"/>
          <w:sz w:val="22"/>
          <w:szCs w:val="22"/>
        </w:rPr>
        <w:t xml:space="preserve">is </w:t>
      </w:r>
      <w:r>
        <w:rPr>
          <w:rFonts w:hint="default" w:ascii="Calibri" w:hAnsi="Calibri" w:cs="Calibri"/>
          <w:sz w:val="22"/>
          <w:szCs w:val="22"/>
          <w:lang w:val="nl-NL"/>
        </w:rPr>
        <w:t>100</w:t>
      </w:r>
      <w:r>
        <w:rPr>
          <w:rFonts w:hint="default" w:ascii="Calibri" w:hAnsi="Calibri" w:cs="Calibri"/>
          <w:sz w:val="22"/>
          <w:szCs w:val="22"/>
        </w:rPr>
        <w:t>%van het bijgevoegde door de NZa vastgestelde maximumtarief.</w:t>
      </w:r>
      <w:r>
        <w:rPr>
          <w:rFonts w:hint="default" w:ascii="Calibri" w:hAnsi="Calibri" w:cs="Calibri"/>
          <w:sz w:val="22"/>
          <w:szCs w:val="22"/>
          <w:lang w:val="nl-NL"/>
        </w:rPr>
        <w:t xml:space="preserve"> </w:t>
      </w:r>
      <w:r>
        <w:rPr>
          <w:rFonts w:hint="default" w:ascii="Calibri" w:hAnsi="Calibri" w:cs="Calibri"/>
          <w:sz w:val="22"/>
          <w:szCs w:val="22"/>
        </w:rPr>
        <w:t>Dit tarief is per 60 minuten.</w:t>
      </w:r>
    </w:p>
    <w:p>
      <w:pPr>
        <w:rPr>
          <w:rFonts w:hint="default" w:ascii="Calibri" w:hAnsi="Calibri" w:cs="Calibri"/>
          <w:b/>
          <w:sz w:val="22"/>
          <w:szCs w:val="22"/>
        </w:rPr>
      </w:pPr>
    </w:p>
    <w:p>
      <w:pPr>
        <w:rPr>
          <w:rFonts w:hint="default" w:ascii="Calibri" w:hAnsi="Calibri" w:cs="Calibri"/>
          <w:sz w:val="22"/>
          <w:szCs w:val="22"/>
        </w:rPr>
      </w:pPr>
      <w:r>
        <w:rPr>
          <w:rFonts w:hint="default" w:ascii="Calibri" w:hAnsi="Calibri" w:cs="Calibri"/>
          <w:b/>
          <w:sz w:val="22"/>
          <w:szCs w:val="22"/>
        </w:rPr>
        <w:t xml:space="preserve">Voorwaarden en tarief no-show </w:t>
      </w:r>
      <w:r>
        <w:rPr>
          <w:rFonts w:hint="default" w:ascii="Calibri" w:hAnsi="Calibri" w:cs="Calibri"/>
          <w:b/>
          <w:sz w:val="22"/>
          <w:szCs w:val="22"/>
        </w:rPr>
        <w:br w:type="textWrapping"/>
      </w:r>
      <w:r>
        <w:rPr>
          <w:rFonts w:hint="default" w:ascii="Calibri" w:hAnsi="Calibri" w:cs="Calibri"/>
          <w:sz w:val="22"/>
          <w:szCs w:val="22"/>
        </w:rPr>
        <w:t xml:space="preserve">Het tarief voor no-show is: € </w:t>
      </w:r>
      <w:r>
        <w:rPr>
          <w:rFonts w:hint="default" w:ascii="Calibri" w:hAnsi="Calibri" w:cs="Calibri"/>
          <w:sz w:val="22"/>
          <w:szCs w:val="22"/>
          <w:lang w:val="nl-NL"/>
        </w:rPr>
        <w:t>75</w:t>
      </w:r>
      <w:r>
        <w:rPr>
          <w:rFonts w:hint="default" w:ascii="Calibri" w:hAnsi="Calibri" w:cs="Calibri"/>
          <w:sz w:val="22"/>
          <w:szCs w:val="22"/>
        </w:rPr>
        <w:t>,</w:t>
      </w:r>
      <w:r>
        <w:rPr>
          <w:rFonts w:hint="default" w:ascii="Calibri" w:hAnsi="Calibri" w:cs="Calibri"/>
          <w:sz w:val="22"/>
          <w:szCs w:val="22"/>
          <w:lang w:val="nl-NL"/>
        </w:rPr>
        <w:t>00</w:t>
      </w:r>
      <w:r>
        <w:rPr>
          <w:rFonts w:hint="default" w:ascii="Calibri" w:hAnsi="Calibri" w:cs="Calibri"/>
          <w:sz w:val="22"/>
          <w:szCs w:val="22"/>
        </w:rPr>
        <w:t xml:space="preserve"> per gemiste afspraak. </w:t>
      </w:r>
    </w:p>
    <w:p>
      <w:pPr>
        <w:pStyle w:val="16"/>
        <w:rPr>
          <w:rFonts w:hint="default" w:ascii="Calibri" w:hAnsi="Calibri" w:cs="Calibri"/>
          <w:i/>
          <w:color w:val="FF0000"/>
          <w:sz w:val="22"/>
          <w:szCs w:val="22"/>
        </w:rPr>
      </w:pPr>
    </w:p>
    <w:p>
      <w:pPr>
        <w:pStyle w:val="16"/>
        <w:rPr>
          <w:rFonts w:hint="default" w:ascii="Calibri" w:hAnsi="Calibri" w:cs="Calibri"/>
          <w:sz w:val="22"/>
          <w:szCs w:val="22"/>
        </w:rPr>
      </w:pPr>
    </w:p>
    <w:p>
      <w:pPr>
        <w:pStyle w:val="16"/>
        <w:rPr>
          <w:rFonts w:hint="default" w:ascii="Calibri" w:hAnsi="Calibri" w:cs="Calibri"/>
          <w:sz w:val="22"/>
          <w:szCs w:val="22"/>
        </w:rPr>
      </w:pPr>
    </w:p>
    <w:p>
      <w:pPr>
        <w:pStyle w:val="16"/>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Theme="minorEastAsia" w:hAnsiTheme="minorEastAsia" w:cstheme="minorEastAsia"/>
          <w:sz w:val="22"/>
          <w:szCs w:val="22"/>
        </w:rPr>
      </w:pPr>
    </w:p>
    <w:p>
      <w:pPr>
        <w:pStyle w:val="16"/>
        <w:ind w:left="0" w:leftChars="0" w:firstLine="0" w:firstLineChars="0"/>
        <w:rPr>
          <w:rFonts w:hint="default" w:ascii="Calibri" w:hAnsi="Calibri" w:cs="Calibri"/>
          <w:sz w:val="22"/>
          <w:szCs w:val="22"/>
        </w:rPr>
      </w:pPr>
    </w:p>
    <w:p>
      <w:pPr>
        <w:pStyle w:val="16"/>
        <w:ind w:left="0" w:leftChars="0" w:firstLine="0" w:firstLineChars="0"/>
        <w:rPr>
          <w:rFonts w:hint="default" w:ascii="Calibri" w:hAnsi="Calibri" w:cs="Calibri"/>
          <w:sz w:val="22"/>
          <w:szCs w:val="22"/>
        </w:rPr>
      </w:pPr>
      <w:r>
        <w:rPr>
          <w:rFonts w:hint="default" w:ascii="Calibri" w:hAnsi="Calibri" w:cs="Calibri"/>
          <w:sz w:val="22"/>
          <w:szCs w:val="22"/>
        </w:rPr>
        <w:t xml:space="preserve">Mijn betalingsvoorwaarden zijn: </w:t>
      </w:r>
    </w:p>
    <w:p>
      <w:pPr>
        <w:pStyle w:val="16"/>
        <w:ind w:left="0" w:leftChars="0" w:firstLine="0" w:firstLineChars="0"/>
      </w:pPr>
    </w:p>
    <w:p>
      <w:pPr>
        <w:widowControl w:val="0"/>
        <w:tabs>
          <w:tab w:val="left" w:pos="-1152"/>
          <w:tab w:val="left" w:pos="432"/>
          <w:tab w:val="left" w:pos="720"/>
          <w:tab w:val="left" w:pos="1008"/>
          <w:tab w:val="left" w:pos="1296"/>
        </w:tabs>
        <w:autoSpaceDE w:val="0"/>
        <w:autoSpaceDN w:val="0"/>
        <w:spacing w:after="0" w:line="240" w:lineRule="auto"/>
        <w:rPr>
          <w:rFonts w:ascii="Trebuchet MS" w:hAnsi="Trebuchet MS" w:eastAsia="Times New Roman" w:cs="Trebuchet MS"/>
          <w:sz w:val="20"/>
          <w:szCs w:val="20"/>
          <w:lang w:eastAsia="nl-NL"/>
        </w:rPr>
      </w:pPr>
      <w:r>
        <w:rPr>
          <w:rFonts w:ascii="Courier" w:hAnsi="Courier" w:eastAsia="Times New Roman" w:cs="Courier"/>
          <w:sz w:val="24"/>
          <w:szCs w:val="24"/>
          <w:lang w:val="en-US" w:eastAsia="nl-NL"/>
        </w:rPr>
        <w:drawing>
          <wp:inline distT="0" distB="0" distL="0" distR="0">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19300" cy="1009650"/>
                    </a:xfrm>
                    <a:prstGeom prst="rect">
                      <a:avLst/>
                    </a:prstGeom>
                    <a:noFill/>
                    <a:ln>
                      <a:noFill/>
                    </a:ln>
                  </pic:spPr>
                </pic:pic>
              </a:graphicData>
            </a:graphic>
          </wp:inline>
        </w:drawing>
      </w:r>
    </w:p>
    <w:p>
      <w:pPr>
        <w:widowControl w:val="0"/>
        <w:tabs>
          <w:tab w:val="left" w:pos="-1152"/>
          <w:tab w:val="left" w:pos="432"/>
          <w:tab w:val="left" w:pos="720"/>
          <w:tab w:val="left" w:pos="1008"/>
          <w:tab w:val="left" w:pos="1296"/>
        </w:tabs>
        <w:autoSpaceDE w:val="0"/>
        <w:autoSpaceDN w:val="0"/>
        <w:spacing w:after="0" w:line="240" w:lineRule="auto"/>
        <w:rPr>
          <w:rFonts w:ascii="Trebuchet MS" w:hAnsi="Trebuchet MS" w:eastAsia="Times New Roman" w:cs="Trebuchet MS"/>
          <w:sz w:val="20"/>
          <w:szCs w:val="20"/>
          <w:lang w:eastAsia="nl-NL"/>
        </w:rPr>
      </w:pPr>
    </w:p>
    <w:tbl>
      <w:tblPr>
        <w:tblStyle w:val="3"/>
        <w:tblW w:w="0" w:type="auto"/>
        <w:jc w:val="center"/>
        <w:tblLayout w:type="fixed"/>
        <w:tblCellMar>
          <w:top w:w="0" w:type="dxa"/>
          <w:left w:w="120" w:type="dxa"/>
          <w:bottom w:w="0" w:type="dxa"/>
          <w:right w:w="120" w:type="dxa"/>
        </w:tblCellMar>
      </w:tblPr>
      <w:tblGrid>
        <w:gridCol w:w="9184"/>
      </w:tblGrid>
      <w:tr>
        <w:tblPrEx>
          <w:tblCellMar>
            <w:top w:w="0" w:type="dxa"/>
            <w:left w:w="120" w:type="dxa"/>
            <w:bottom w:w="0" w:type="dxa"/>
            <w:right w:w="120" w:type="dxa"/>
          </w:tblCellMar>
        </w:tblPrEx>
        <w:trPr>
          <w:jc w:val="center"/>
        </w:trPr>
        <w:tc>
          <w:tcPr>
            <w:tcW w:w="9184" w:type="dxa"/>
            <w:tcBorders>
              <w:top w:val="single" w:color="auto" w:sz="6" w:space="0"/>
              <w:left w:val="single" w:color="auto" w:sz="6" w:space="0"/>
              <w:bottom w:val="single" w:color="auto" w:sz="6" w:space="0"/>
              <w:right w:val="single" w:color="auto" w:sz="6" w:space="0"/>
            </w:tcBorders>
          </w:tcPr>
          <w:p>
            <w:pPr>
              <w:widowControl w:val="0"/>
              <w:tabs>
                <w:tab w:val="center" w:pos="4473"/>
              </w:tabs>
              <w:autoSpaceDE w:val="0"/>
              <w:autoSpaceDN w:val="0"/>
              <w:spacing w:before="90" w:after="0" w:line="240" w:lineRule="auto"/>
              <w:rPr>
                <w:rFonts w:ascii="Trebuchet MS" w:hAnsi="Trebuchet MS" w:eastAsia="Times New Roman" w:cs="Trebuchet MS"/>
                <w:b/>
                <w:bCs/>
                <w:sz w:val="20"/>
                <w:szCs w:val="20"/>
                <w:lang w:eastAsia="nl-NL"/>
              </w:rPr>
            </w:pPr>
            <w:r>
              <w:rPr>
                <w:rFonts w:ascii="Trebuchet MS" w:hAnsi="Trebuchet MS" w:eastAsia="Times New Roman" w:cs="Trebuchet MS"/>
                <w:sz w:val="20"/>
                <w:szCs w:val="20"/>
                <w:lang w:eastAsia="nl-NL"/>
              </w:rPr>
              <w:fldChar w:fldCharType="begin"/>
            </w:r>
            <w:r>
              <w:rPr>
                <w:rFonts w:ascii="Trebuchet MS" w:hAnsi="Trebuchet MS" w:eastAsia="Times New Roman" w:cs="Trebuchet MS"/>
                <w:sz w:val="20"/>
                <w:szCs w:val="20"/>
                <w:lang w:eastAsia="nl-NL"/>
              </w:rPr>
              <w:instrText xml:space="preserve">PRIVATE </w:instrText>
            </w:r>
            <w:r>
              <w:rPr>
                <w:rFonts w:ascii="Trebuchet MS" w:hAnsi="Trebuchet MS" w:eastAsia="Times New Roman" w:cs="Trebuchet MS"/>
                <w:sz w:val="20"/>
                <w:szCs w:val="20"/>
                <w:lang w:eastAsia="nl-NL"/>
              </w:rPr>
              <w:fldChar w:fldCharType="end"/>
            </w:r>
            <w:r>
              <w:rPr>
                <w:rFonts w:ascii="Trebuchet MS" w:hAnsi="Trebuchet MS" w:eastAsia="Times New Roman" w:cs="Trebuchet MS"/>
                <w:b/>
                <w:bCs/>
                <w:sz w:val="20"/>
                <w:szCs w:val="20"/>
                <w:lang w:eastAsia="nl-NL"/>
              </w:rPr>
              <w:tab/>
            </w:r>
          </w:p>
          <w:p>
            <w:pPr>
              <w:widowControl w:val="0"/>
              <w:tabs>
                <w:tab w:val="center" w:pos="4473"/>
              </w:tabs>
              <w:autoSpaceDE w:val="0"/>
              <w:autoSpaceDN w:val="0"/>
              <w:spacing w:before="90" w:after="0" w:line="240" w:lineRule="auto"/>
              <w:jc w:val="center"/>
              <w:rPr>
                <w:rFonts w:ascii="Trebuchet MS" w:hAnsi="Trebuchet MS" w:eastAsia="Times New Roman" w:cs="Trebuchet MS"/>
                <w:b/>
                <w:bCs/>
                <w:color w:val="009999"/>
                <w:sz w:val="28"/>
                <w:szCs w:val="28"/>
                <w:lang w:eastAsia="nl-NL"/>
              </w:rPr>
            </w:pPr>
            <w:r>
              <w:rPr>
                <w:rFonts w:ascii="Calibri" w:hAnsi="Calibri" w:eastAsia="Times New Roman" w:cs="Calibri"/>
                <w:b/>
                <w:color w:val="4BACC6"/>
                <w:sz w:val="28"/>
                <w:szCs w:val="28"/>
                <w:lang w:eastAsia="nl-NL"/>
              </w:rPr>
              <w:t>Algemene betalingsvoorwaarden*</w:t>
            </w:r>
            <w:r>
              <w:rPr>
                <w:rFonts w:ascii="Trebuchet MS" w:hAnsi="Trebuchet MS" w:eastAsia="Times New Roman" w:cs="Trebuchet MS"/>
                <w:b/>
                <w:bCs/>
                <w:color w:val="009999"/>
                <w:sz w:val="28"/>
                <w:szCs w:val="28"/>
                <w:lang w:eastAsia="nl-NL"/>
              </w:rPr>
              <w:fldChar w:fldCharType="begin"/>
            </w:r>
            <w:r>
              <w:rPr>
                <w:rFonts w:ascii="Trebuchet MS" w:hAnsi="Trebuchet MS" w:eastAsia="Times New Roman" w:cs="Trebuchet MS"/>
                <w:b/>
                <w:bCs/>
                <w:color w:val="009999"/>
                <w:sz w:val="28"/>
                <w:szCs w:val="28"/>
                <w:lang w:eastAsia="nl-NL"/>
              </w:rPr>
              <w:instrText xml:space="preserve">PRIVATE </w:instrText>
            </w:r>
            <w:r>
              <w:rPr>
                <w:rFonts w:ascii="Trebuchet MS" w:hAnsi="Trebuchet MS" w:eastAsia="Times New Roman" w:cs="Trebuchet MS"/>
                <w:b/>
                <w:bCs/>
                <w:color w:val="009999"/>
                <w:sz w:val="28"/>
                <w:szCs w:val="28"/>
                <w:lang w:eastAsia="nl-NL"/>
              </w:rPr>
              <w:fldChar w:fldCharType="end"/>
            </w:r>
          </w:p>
          <w:p>
            <w:pPr>
              <w:widowControl w:val="0"/>
              <w:tabs>
                <w:tab w:val="center" w:pos="4473"/>
              </w:tabs>
              <w:autoSpaceDE w:val="0"/>
              <w:autoSpaceDN w:val="0"/>
              <w:spacing w:before="90" w:after="0" w:line="240" w:lineRule="auto"/>
              <w:rPr>
                <w:rFonts w:ascii="Trebuchet MS" w:hAnsi="Trebuchet MS" w:eastAsia="Times New Roman" w:cs="Trebuchet MS"/>
                <w:b/>
                <w:bCs/>
                <w:color w:val="CC0000"/>
                <w:sz w:val="24"/>
                <w:szCs w:val="24"/>
                <w:lang w:eastAsia="nl-NL"/>
              </w:rPr>
            </w:pPr>
          </w:p>
        </w:tc>
      </w:tr>
    </w:tbl>
    <w:p>
      <w:pPr>
        <w:widowControl w:val="0"/>
        <w:tabs>
          <w:tab w:val="left" w:pos="-1152"/>
          <w:tab w:val="left" w:pos="432"/>
          <w:tab w:val="left" w:pos="720"/>
          <w:tab w:val="left" w:pos="1008"/>
          <w:tab w:val="left" w:pos="1296"/>
        </w:tabs>
        <w:autoSpaceDE w:val="0"/>
        <w:autoSpaceDN w:val="0"/>
        <w:spacing w:after="0" w:line="240" w:lineRule="auto"/>
        <w:rPr>
          <w:rFonts w:ascii="Trebuchet MS" w:hAnsi="Trebuchet MS" w:eastAsia="Times New Roman" w:cs="Trebuchet MS"/>
          <w:sz w:val="20"/>
          <w:szCs w:val="20"/>
          <w:lang w:eastAsia="nl-NL"/>
        </w:rPr>
      </w:pP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1</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Deze betalingsvoorwaarden zijn van toepassing op alle behandelingsovereenkomsten tussen de gz-psycholoog, psychotherapeut, klinisch (neuro)psycholoog (hierna te noemen: behandelaar) en de patiënt.</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2</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 xml:space="preserve">No-show: Afspraken moeten uiterlijk 24 uur voor het tijdstip van de behandeling geannuleerd worden. Bij niet annuleren en bij annuleringen binnen 24 uur voor de afspraak is de behandelaar gerechtigd de gereserveerde tijd aan de patiënt in rekening te brengen. </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3</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De door de behandelaar aan de patiënt gedeclareerde kosten voor de behandeling dienen door de patiënt binnen 30 dagen na de datum van de factuur te zijn betaald.</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4</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6</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7</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Alle buitengerechtelijke incassokosten verband houdende met de invordering van de gedeclareerde bedragen komen ten laste van de patiënt. De buitengerechtelijke incasso</w:t>
      </w:r>
      <w:r>
        <w:rPr>
          <w:rFonts w:ascii="Calibri" w:hAnsi="Calibri" w:eastAsia="Times New Roman" w:cs="Trebuchet MS"/>
          <w:szCs w:val="20"/>
          <w:lang w:eastAsia="nl-NL"/>
        </w:rPr>
        <w:softHyphen/>
      </w:r>
      <w:r>
        <w:rPr>
          <w:rFonts w:ascii="Calibri" w:hAnsi="Calibri" w:eastAsia="Times New Roman" w:cs="Trebuchet MS"/>
          <w:szCs w:val="20"/>
          <w:lang w:eastAsia="nl-NL"/>
        </w:rPr>
        <w:t>kosten zijn vastgesteld op tenminste 15% van de hoofdsom met een minimum van € 25.</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p>
    <w:p>
      <w:pPr>
        <w:widowControl w:val="0"/>
        <w:tabs>
          <w:tab w:val="left" w:pos="-1152"/>
          <w:tab w:val="left" w:pos="432"/>
          <w:tab w:val="left" w:pos="720"/>
          <w:tab w:val="left" w:pos="1008"/>
          <w:tab w:val="left" w:pos="1296"/>
        </w:tabs>
        <w:autoSpaceDE w:val="0"/>
        <w:autoSpaceDN w:val="0"/>
        <w:spacing w:after="0" w:line="240" w:lineRule="auto"/>
        <w:outlineLvl w:val="0"/>
        <w:rPr>
          <w:rFonts w:ascii="Calibri" w:hAnsi="Calibri" w:eastAsia="Times New Roman" w:cs="Trebuchet MS"/>
          <w:szCs w:val="20"/>
          <w:lang w:eastAsia="nl-NL"/>
        </w:rPr>
      </w:pPr>
      <w:r>
        <w:rPr>
          <w:rFonts w:ascii="Calibri" w:hAnsi="Calibri" w:eastAsia="Times New Roman" w:cs="Trebuchet MS"/>
          <w:b/>
          <w:bCs/>
          <w:szCs w:val="20"/>
          <w:lang w:eastAsia="nl-NL"/>
        </w:rPr>
        <w:t>Artikel 8</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szCs w:val="20"/>
          <w:lang w:eastAsia="nl-NL"/>
        </w:rPr>
      </w:pPr>
      <w:r>
        <w:rPr>
          <w:rFonts w:ascii="Calibri" w:hAnsi="Calibri" w:eastAsia="Times New Roman" w:cs="Trebuchet MS"/>
          <w:szCs w:val="20"/>
          <w:lang w:eastAsia="nl-NL"/>
        </w:rPr>
        <w:t>Bij betalingsachterstand is de behandelaar gerechtigd - tenzij de behandeling zich hiertegen verzet - verdere behandeling op te schorten totdat de patiënt aan zijn/haar betalingsverplichtingen heeft voldaan.</w:t>
      </w:r>
    </w:p>
    <w:p>
      <w:pPr>
        <w:widowControl w:val="0"/>
        <w:tabs>
          <w:tab w:val="left" w:pos="-1152"/>
          <w:tab w:val="left" w:pos="432"/>
          <w:tab w:val="left" w:pos="720"/>
          <w:tab w:val="left" w:pos="1008"/>
          <w:tab w:val="left" w:pos="1296"/>
        </w:tabs>
        <w:autoSpaceDE w:val="0"/>
        <w:autoSpaceDN w:val="0"/>
        <w:spacing w:after="0" w:line="240" w:lineRule="auto"/>
        <w:rPr>
          <w:rFonts w:ascii="Calibri" w:hAnsi="Calibri" w:eastAsia="Times New Roman" w:cs="Trebuchet MS"/>
          <w:b/>
          <w:bCs/>
          <w:i/>
          <w:color w:val="009999"/>
          <w:szCs w:val="24"/>
          <w:lang w:eastAsia="nl-NL"/>
        </w:rPr>
      </w:pPr>
    </w:p>
    <w:p>
      <w:pPr>
        <w:rPr>
          <w:b/>
          <w:bCs/>
          <w:color w:val="2F5597" w:themeColor="accent5" w:themeShade="BF"/>
          <w:sz w:val="44"/>
          <w:szCs w:val="44"/>
        </w:rPr>
      </w:pPr>
      <w:r>
        <w:rPr>
          <w:rFonts w:ascii="Calibri" w:hAnsi="Calibri" w:eastAsia="Times New Roman" w:cs="Trebuchet MS"/>
          <w:i/>
          <w:color w:val="FF0000"/>
          <w:szCs w:val="20"/>
          <w:lang w:eastAsia="nl-NL"/>
        </w:rPr>
        <w:br w:type="page"/>
      </w:r>
      <w:r>
        <w:rPr>
          <w:b/>
          <w:bCs/>
          <w:color w:val="2F5597" w:themeColor="accent5" w:themeShade="BF"/>
          <w:sz w:val="44"/>
          <w:szCs w:val="44"/>
        </w:rPr>
        <w:t>Tarieven zorgprestatiemodel setting 1 – 2024</w:t>
      </w:r>
    </w:p>
    <w:tbl>
      <w:tblPr>
        <w:tblStyle w:val="3"/>
        <w:tblW w:w="8453" w:type="dxa"/>
        <w:tblInd w:w="0" w:type="dxa"/>
        <w:tblLayout w:type="autofit"/>
        <w:tblCellMar>
          <w:top w:w="0" w:type="dxa"/>
          <w:left w:w="70" w:type="dxa"/>
          <w:bottom w:w="0" w:type="dxa"/>
          <w:right w:w="70" w:type="dxa"/>
        </w:tblCellMar>
      </w:tblPr>
      <w:tblGrid>
        <w:gridCol w:w="2251"/>
        <w:gridCol w:w="2427"/>
        <w:gridCol w:w="1446"/>
        <w:gridCol w:w="2183"/>
        <w:gridCol w:w="146"/>
      </w:tblGrid>
      <w:tr>
        <w:tblPrEx>
          <w:tblCellMar>
            <w:top w:w="0" w:type="dxa"/>
            <w:left w:w="70" w:type="dxa"/>
            <w:bottom w:w="0" w:type="dxa"/>
            <w:right w:w="70" w:type="dxa"/>
          </w:tblCellMar>
        </w:tblPrEx>
        <w:trPr>
          <w:trHeight w:val="630" w:hRule="atLeast"/>
        </w:trPr>
        <w:tc>
          <w:tcPr>
            <w:tcW w:w="8307" w:type="dxa"/>
            <w:gridSpan w:val="4"/>
            <w:vMerge w:val="restart"/>
            <w:tcBorders>
              <w:top w:val="single" w:color="D9D9D9" w:sz="4" w:space="0"/>
              <w:left w:val="single" w:color="D9D9D9" w:sz="4" w:space="0"/>
              <w:bottom w:val="single" w:color="D9D9D9" w:sz="4" w:space="0"/>
              <w:right w:val="single" w:color="D9D9D9" w:sz="4" w:space="0"/>
            </w:tcBorders>
            <w:shd w:val="clear" w:color="auto" w:fill="auto"/>
            <w:vAlign w:val="center"/>
          </w:tcPr>
          <w:p>
            <w:pPr>
              <w:spacing w:after="0" w:line="240" w:lineRule="auto"/>
              <w:jc w:val="center"/>
              <w:rPr>
                <w:rFonts w:hint="default" w:ascii="Calibri" w:hAnsi="Calibri" w:eastAsia="Times New Roman" w:cs="Calibri"/>
                <w:b/>
                <w:bCs/>
                <w:color w:val="auto"/>
                <w:sz w:val="44"/>
                <w:szCs w:val="44"/>
                <w:lang w:val="en-US" w:eastAsia="nl-NL"/>
              </w:rPr>
            </w:pPr>
            <w:r>
              <w:rPr>
                <w:rFonts w:ascii="Calibri" w:hAnsi="Calibri" w:eastAsia="Times New Roman" w:cs="Calibri"/>
                <w:b/>
                <w:bCs/>
                <w:color w:val="auto"/>
                <w:sz w:val="44"/>
                <w:szCs w:val="44"/>
                <w:lang w:eastAsia="nl-NL"/>
              </w:rPr>
              <w:t xml:space="preserve">NZa-tarieven </w:t>
            </w:r>
            <w:r>
              <w:rPr>
                <w:rFonts w:hint="default" w:ascii="Calibri" w:hAnsi="Calibri" w:eastAsia="Times New Roman" w:cs="Calibri"/>
                <w:b/>
                <w:bCs/>
                <w:color w:val="auto"/>
                <w:sz w:val="44"/>
                <w:szCs w:val="44"/>
                <w:lang w:val="en-US" w:eastAsia="nl-NL"/>
              </w:rPr>
              <w:t>psychotherapeut</w:t>
            </w:r>
          </w:p>
          <w:p>
            <w:pPr>
              <w:spacing w:after="0" w:line="240" w:lineRule="auto"/>
              <w:jc w:val="center"/>
              <w:rPr>
                <w:rFonts w:ascii="Calibri" w:hAnsi="Calibri" w:eastAsia="Times New Roman" w:cs="Calibri"/>
                <w:b/>
                <w:bCs/>
                <w:color w:val="FF0000"/>
                <w:sz w:val="44"/>
                <w:szCs w:val="44"/>
                <w:lang w:eastAsia="nl-NL"/>
              </w:rPr>
            </w:pPr>
            <w:r>
              <w:rPr>
                <w:rFonts w:ascii="Calibri" w:hAnsi="Calibri" w:eastAsia="Times New Roman" w:cs="Calibri"/>
                <w:b/>
                <w:bCs/>
                <w:color w:val="auto"/>
                <w:sz w:val="44"/>
                <w:szCs w:val="44"/>
                <w:lang w:eastAsia="nl-NL"/>
              </w:rPr>
              <w:t>in kwaliteitsstatuut sectie II</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630" w:hRule="atLeast"/>
        </w:trPr>
        <w:tc>
          <w:tcPr>
            <w:tcW w:w="8307" w:type="dxa"/>
            <w:gridSpan w:val="4"/>
            <w:vMerge w:val="continue"/>
            <w:tcBorders>
              <w:top w:val="single" w:color="D9D9D9" w:sz="4" w:space="0"/>
              <w:left w:val="single" w:color="D9D9D9" w:sz="4" w:space="0"/>
              <w:bottom w:val="single" w:color="D9D9D9" w:sz="4" w:space="0"/>
              <w:right w:val="single" w:color="D9D9D9" w:sz="4" w:space="0"/>
            </w:tcBorders>
            <w:vAlign w:val="center"/>
          </w:tcPr>
          <w:p>
            <w:pPr>
              <w:spacing w:after="0" w:line="240" w:lineRule="auto"/>
              <w:rPr>
                <w:rFonts w:ascii="Calibri" w:hAnsi="Calibri" w:eastAsia="Times New Roman" w:cs="Calibri"/>
                <w:b/>
                <w:bCs/>
                <w:color w:val="FF0000"/>
                <w:sz w:val="52"/>
                <w:szCs w:val="52"/>
                <w:lang w:eastAsia="nl-NL"/>
              </w:rPr>
            </w:pPr>
          </w:p>
        </w:tc>
        <w:tc>
          <w:tcPr>
            <w:tcW w:w="146"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b/>
                <w:bCs/>
                <w:color w:val="FF0000"/>
                <w:sz w:val="52"/>
                <w:szCs w:val="52"/>
                <w:lang w:eastAsia="nl-NL"/>
              </w:rPr>
            </w:pPr>
          </w:p>
        </w:tc>
      </w:tr>
      <w:tr>
        <w:trPr>
          <w:trHeight w:val="402" w:hRule="atLeast"/>
        </w:trPr>
        <w:tc>
          <w:tcPr>
            <w:tcW w:w="2251"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Prestatiecode</w:t>
            </w:r>
          </w:p>
        </w:tc>
        <w:tc>
          <w:tcPr>
            <w:tcW w:w="2427" w:type="dxa"/>
            <w:tcBorders>
              <w:top w:val="nil"/>
              <w:left w:val="nil"/>
              <w:bottom w:val="single" w:color="auto" w:sz="4" w:space="0"/>
              <w:right w:val="single" w:color="auto" w:sz="4" w:space="0"/>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Consulttype</w:t>
            </w:r>
          </w:p>
        </w:tc>
        <w:tc>
          <w:tcPr>
            <w:tcW w:w="1446"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Duur vanaf </w:t>
            </w:r>
          </w:p>
        </w:tc>
        <w:tc>
          <w:tcPr>
            <w:tcW w:w="2183" w:type="dxa"/>
            <w:tcBorders>
              <w:top w:val="nil"/>
              <w:left w:val="nil"/>
              <w:bottom w:val="single" w:color="auto" w:sz="4" w:space="0"/>
              <w:right w:val="single" w:color="auto" w:sz="4" w:space="0"/>
            </w:tcBorders>
            <w:shd w:val="clear" w:color="000000" w:fill="293780"/>
            <w:noWrap/>
            <w:vAlign w:val="center"/>
          </w:tcPr>
          <w:p>
            <w:pPr>
              <w:spacing w:after="0" w:line="240" w:lineRule="auto"/>
              <w:jc w:val="right"/>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CO0050</w:t>
            </w:r>
          </w:p>
        </w:tc>
        <w:tc>
          <w:tcPr>
            <w:tcW w:w="2427"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42,93</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CO0115</w:t>
            </w:r>
          </w:p>
        </w:tc>
        <w:tc>
          <w:tcPr>
            <w:tcW w:w="242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34,53</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CO0180</w:t>
            </w:r>
          </w:p>
        </w:tc>
        <w:tc>
          <w:tcPr>
            <w:tcW w:w="2427"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75,41</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CO0245</w:t>
            </w:r>
          </w:p>
        </w:tc>
        <w:tc>
          <w:tcPr>
            <w:tcW w:w="242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62,65</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CO0310</w:t>
            </w:r>
          </w:p>
        </w:tc>
        <w:tc>
          <w:tcPr>
            <w:tcW w:w="2427"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129,32</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CO0375</w:t>
            </w:r>
          </w:p>
        </w:tc>
        <w:tc>
          <w:tcPr>
            <w:tcW w:w="242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30</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109,37</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CO0440</w:t>
            </w:r>
          </w:p>
        </w:tc>
        <w:tc>
          <w:tcPr>
            <w:tcW w:w="2427"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45</w:t>
            </w:r>
          </w:p>
        </w:tc>
        <w:tc>
          <w:tcPr>
            <w:tcW w:w="218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183,07</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CO0505</w:t>
            </w:r>
          </w:p>
        </w:tc>
        <w:tc>
          <w:tcPr>
            <w:tcW w:w="2427"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156,72</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CO0570</w:t>
            </w:r>
          </w:p>
        </w:tc>
        <w:tc>
          <w:tcPr>
            <w:tcW w:w="242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60</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211,06</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CO0635</w:t>
            </w:r>
          </w:p>
        </w:tc>
        <w:tc>
          <w:tcPr>
            <w:tcW w:w="2427"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60</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186,80</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CO0700</w:t>
            </w:r>
          </w:p>
        </w:tc>
        <w:tc>
          <w:tcPr>
            <w:tcW w:w="242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257,87</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CO0765</w:t>
            </w:r>
          </w:p>
        </w:tc>
        <w:tc>
          <w:tcPr>
            <w:tcW w:w="2427"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230,38</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CO0830</w:t>
            </w:r>
          </w:p>
        </w:tc>
        <w:tc>
          <w:tcPr>
            <w:tcW w:w="242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90</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315,90</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CO0895</w:t>
            </w:r>
          </w:p>
        </w:tc>
        <w:tc>
          <w:tcPr>
            <w:tcW w:w="2427" w:type="dxa"/>
            <w:tcBorders>
              <w:top w:val="nil"/>
              <w:left w:val="nil"/>
              <w:bottom w:val="nil"/>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90</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281,27</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CO0960</w:t>
            </w:r>
          </w:p>
        </w:tc>
        <w:tc>
          <w:tcPr>
            <w:tcW w:w="242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Diagnostiek</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120</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440,15</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CO1025</w:t>
            </w:r>
          </w:p>
        </w:tc>
        <w:tc>
          <w:tcPr>
            <w:tcW w:w="2427"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Behandeling</w:t>
            </w:r>
          </w:p>
        </w:tc>
        <w:tc>
          <w:tcPr>
            <w:tcW w:w="144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120</w:t>
            </w:r>
          </w:p>
        </w:tc>
        <w:tc>
          <w:tcPr>
            <w:tcW w:w="218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402,66</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Groepsbehandeling</w:t>
            </w:r>
          </w:p>
        </w:tc>
        <w:tc>
          <w:tcPr>
            <w:tcW w:w="2427" w:type="dxa"/>
            <w:tcBorders>
              <w:top w:val="nil"/>
              <w:left w:val="nil"/>
              <w:bottom w:val="single" w:color="auto" w:sz="4" w:space="0"/>
              <w:right w:val="single" w:color="auto" w:sz="4" w:space="0"/>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Groepsgrootte</w:t>
            </w:r>
          </w:p>
        </w:tc>
        <w:tc>
          <w:tcPr>
            <w:tcW w:w="1446"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Blok_duur </w:t>
            </w:r>
          </w:p>
        </w:tc>
        <w:tc>
          <w:tcPr>
            <w:tcW w:w="2183"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GC0079</w:t>
            </w:r>
          </w:p>
        </w:tc>
        <w:tc>
          <w:tcPr>
            <w:tcW w:w="2427"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33,88</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GC0087</w:t>
            </w:r>
          </w:p>
        </w:tc>
        <w:tc>
          <w:tcPr>
            <w:tcW w:w="242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22,59</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GC0095</w:t>
            </w:r>
          </w:p>
        </w:tc>
        <w:tc>
          <w:tcPr>
            <w:tcW w:w="2427"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4</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16,94</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GC0103</w:t>
            </w:r>
          </w:p>
        </w:tc>
        <w:tc>
          <w:tcPr>
            <w:tcW w:w="242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13,55</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GC0111</w:t>
            </w:r>
          </w:p>
        </w:tc>
        <w:tc>
          <w:tcPr>
            <w:tcW w:w="2427"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11,29</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GC0119</w:t>
            </w:r>
          </w:p>
        </w:tc>
        <w:tc>
          <w:tcPr>
            <w:tcW w:w="242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9,68</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GC0127</w:t>
            </w:r>
          </w:p>
        </w:tc>
        <w:tc>
          <w:tcPr>
            <w:tcW w:w="2427" w:type="dxa"/>
            <w:tcBorders>
              <w:top w:val="nil"/>
              <w:left w:val="nil"/>
              <w:bottom w:val="nil"/>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8</w:t>
            </w:r>
          </w:p>
        </w:tc>
        <w:tc>
          <w:tcPr>
            <w:tcW w:w="1446" w:type="dxa"/>
            <w:tcBorders>
              <w:top w:val="nil"/>
              <w:left w:val="nil"/>
              <w:bottom w:val="nil"/>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nil"/>
              <w:left w:val="nil"/>
              <w:bottom w:val="nil"/>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8,47</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GC0135</w:t>
            </w:r>
          </w:p>
        </w:tc>
        <w:tc>
          <w:tcPr>
            <w:tcW w:w="242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9</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7,53</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GC0143</w:t>
            </w:r>
          </w:p>
        </w:tc>
        <w:tc>
          <w:tcPr>
            <w:tcW w:w="2427" w:type="dxa"/>
            <w:tcBorders>
              <w:top w:val="nil"/>
              <w:left w:val="nil"/>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10</w:t>
            </w:r>
          </w:p>
        </w:tc>
        <w:tc>
          <w:tcPr>
            <w:tcW w:w="1446"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w:t>
            </w:r>
          </w:p>
        </w:tc>
        <w:tc>
          <w:tcPr>
            <w:tcW w:w="218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6,78</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nl-NL"/>
              </w:rPr>
            </w:pPr>
          </w:p>
        </w:tc>
        <w:tc>
          <w:tcPr>
            <w:tcW w:w="2427"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2183" w:type="dxa"/>
            <w:tcBorders>
              <w:top w:val="nil"/>
              <w:left w:val="nil"/>
              <w:bottom w:val="nil"/>
              <w:right w:val="nil"/>
            </w:tcBorders>
            <w:shd w:val="clear" w:color="auto" w:fill="auto"/>
            <w:noWrap/>
            <w:vAlign w:val="center"/>
          </w:tcPr>
          <w:p>
            <w:pPr>
              <w:spacing w:after="0" w:line="240" w:lineRule="auto"/>
              <w:jc w:val="right"/>
              <w:rPr>
                <w:rFonts w:ascii="Times New Roman" w:hAnsi="Times New Roman" w:eastAsia="Times New Roman" w:cs="Times New Roman"/>
                <w:sz w:val="20"/>
                <w:szCs w:val="20"/>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402" w:hRule="atLeast"/>
        </w:trPr>
        <w:tc>
          <w:tcPr>
            <w:tcW w:w="2251"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sz w:val="24"/>
                <w:szCs w:val="24"/>
                <w:lang w:eastAsia="nl-NL"/>
              </w:rPr>
            </w:pPr>
          </w:p>
          <w:p>
            <w:pPr>
              <w:spacing w:after="0" w:line="240" w:lineRule="auto"/>
              <w:rPr>
                <w:rFonts w:ascii="Calibri" w:hAnsi="Calibri" w:eastAsia="Times New Roman" w:cs="Calibri"/>
                <w:color w:val="000000"/>
                <w:sz w:val="24"/>
                <w:szCs w:val="24"/>
                <w:lang w:eastAsia="nl-NL"/>
              </w:rPr>
            </w:pPr>
          </w:p>
        </w:tc>
        <w:tc>
          <w:tcPr>
            <w:tcW w:w="2427"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lang w:eastAsia="nl-NL"/>
              </w:rPr>
            </w:pPr>
          </w:p>
        </w:tc>
        <w:tc>
          <w:tcPr>
            <w:tcW w:w="2183" w:type="dxa"/>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lang w:eastAsia="nl-NL"/>
              </w:rPr>
            </w:pP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642" w:hRule="atLeast"/>
        </w:trPr>
        <w:tc>
          <w:tcPr>
            <w:tcW w:w="8307" w:type="dxa"/>
            <w:gridSpan w:val="4"/>
            <w:vMerge w:val="restart"/>
            <w:tcBorders>
              <w:top w:val="single" w:color="D9D9D9" w:sz="4" w:space="0"/>
              <w:left w:val="single" w:color="D9D9D9" w:sz="4" w:space="0"/>
              <w:bottom w:val="single" w:color="D9D9D9" w:sz="4" w:space="0"/>
              <w:right w:val="single" w:color="D9D9D9" w:sz="4" w:space="0"/>
            </w:tcBorders>
            <w:shd w:val="clear" w:color="auto" w:fill="auto"/>
            <w:vAlign w:val="bottom"/>
          </w:tcPr>
          <w:p>
            <w:pPr>
              <w:spacing w:after="0" w:line="240" w:lineRule="auto"/>
              <w:jc w:val="center"/>
              <w:rPr>
                <w:rFonts w:ascii="Calibri" w:hAnsi="Calibri" w:eastAsia="Times New Roman" w:cs="Calibri"/>
                <w:b/>
                <w:bCs/>
                <w:color w:val="FF0000"/>
                <w:sz w:val="52"/>
                <w:szCs w:val="52"/>
                <w:lang w:eastAsia="nl-NL"/>
              </w:rPr>
            </w:pPr>
            <w:r>
              <w:rPr>
                <w:rFonts w:hint="default" w:ascii="Calibri" w:hAnsi="Calibri" w:eastAsia="Times New Roman" w:cs="Calibri"/>
                <w:b/>
                <w:bCs/>
                <w:color w:val="auto"/>
                <w:sz w:val="44"/>
                <w:szCs w:val="44"/>
                <w:lang w:val="en-US" w:eastAsia="nl-NL"/>
              </w:rPr>
              <w:t xml:space="preserve">Generieke tarieven </w:t>
            </w:r>
            <w:r>
              <w:rPr>
                <w:rFonts w:ascii="Calibri" w:hAnsi="Calibri" w:eastAsia="Times New Roman" w:cs="Calibri"/>
                <w:b/>
                <w:bCs/>
                <w:color w:val="auto"/>
                <w:sz w:val="44"/>
                <w:szCs w:val="44"/>
                <w:lang w:eastAsia="nl-NL"/>
              </w:rPr>
              <w:t>in kwaliteitsstatuut sectie II</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630" w:hRule="atLeast"/>
        </w:trPr>
        <w:tc>
          <w:tcPr>
            <w:tcW w:w="8307" w:type="dxa"/>
            <w:gridSpan w:val="4"/>
            <w:vMerge w:val="continue"/>
            <w:tcBorders>
              <w:top w:val="single" w:color="D9D9D9" w:sz="4" w:space="0"/>
              <w:left w:val="single" w:color="D9D9D9" w:sz="4" w:space="0"/>
              <w:bottom w:val="single" w:color="D9D9D9" w:sz="4" w:space="0"/>
              <w:right w:val="single" w:color="D9D9D9" w:sz="4" w:space="0"/>
            </w:tcBorders>
            <w:vAlign w:val="center"/>
          </w:tcPr>
          <w:p>
            <w:pPr>
              <w:spacing w:after="0" w:line="240" w:lineRule="auto"/>
              <w:rPr>
                <w:rFonts w:ascii="Calibri" w:hAnsi="Calibri" w:eastAsia="Times New Roman" w:cs="Calibri"/>
                <w:b/>
                <w:bCs/>
                <w:color w:val="FF0000"/>
                <w:sz w:val="52"/>
                <w:szCs w:val="52"/>
                <w:lang w:eastAsia="nl-NL"/>
              </w:rPr>
            </w:pPr>
          </w:p>
        </w:tc>
        <w:tc>
          <w:tcPr>
            <w:tcW w:w="146" w:type="dxa"/>
            <w:tcBorders>
              <w:top w:val="nil"/>
              <w:left w:val="nil"/>
              <w:bottom w:val="nil"/>
              <w:right w:val="nil"/>
            </w:tcBorders>
            <w:shd w:val="clear" w:color="auto" w:fill="auto"/>
            <w:noWrap/>
            <w:vAlign w:val="bottom"/>
          </w:tcPr>
          <w:p>
            <w:pPr>
              <w:spacing w:after="0" w:line="240" w:lineRule="auto"/>
              <w:jc w:val="center"/>
              <w:rPr>
                <w:rFonts w:ascii="Calibri" w:hAnsi="Calibri" w:eastAsia="Times New Roman" w:cs="Calibri"/>
                <w:b/>
                <w:bCs/>
                <w:color w:val="FF0000"/>
                <w:sz w:val="52"/>
                <w:szCs w:val="52"/>
                <w:lang w:eastAsia="nl-NL"/>
              </w:rPr>
            </w:pPr>
          </w:p>
        </w:tc>
      </w:tr>
      <w:tr>
        <w:trPr>
          <w:trHeight w:val="402" w:hRule="atLeast"/>
        </w:trPr>
        <w:tc>
          <w:tcPr>
            <w:tcW w:w="2251" w:type="dxa"/>
            <w:tcBorders>
              <w:top w:val="nil"/>
              <w:left w:val="single" w:color="auto" w:sz="4" w:space="0"/>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Prestatiecode</w:t>
            </w:r>
          </w:p>
        </w:tc>
        <w:tc>
          <w:tcPr>
            <w:tcW w:w="3873" w:type="dxa"/>
            <w:gridSpan w:val="2"/>
            <w:tcBorders>
              <w:top w:val="nil"/>
              <w:left w:val="nil"/>
              <w:bottom w:val="single" w:color="auto" w:sz="4" w:space="0"/>
              <w:right w:val="nil"/>
            </w:tcBorders>
            <w:shd w:val="clear" w:color="000000" w:fill="293780"/>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Prestatie </w:t>
            </w:r>
          </w:p>
        </w:tc>
        <w:tc>
          <w:tcPr>
            <w:tcW w:w="2183" w:type="dxa"/>
            <w:tcBorders>
              <w:top w:val="nil"/>
              <w:left w:val="nil"/>
              <w:bottom w:val="single" w:color="auto" w:sz="4" w:space="0"/>
              <w:right w:val="single" w:color="auto" w:sz="4" w:space="0"/>
            </w:tcBorders>
            <w:shd w:val="clear" w:color="000000" w:fill="293780"/>
            <w:noWrap/>
            <w:vAlign w:val="center"/>
          </w:tcPr>
          <w:p>
            <w:pPr>
              <w:spacing w:after="0" w:line="240" w:lineRule="auto"/>
              <w:rPr>
                <w:rFonts w:ascii="Calibri" w:hAnsi="Calibri" w:eastAsia="Times New Roman" w:cs="Calibri"/>
                <w:b/>
                <w:bCs/>
                <w:color w:val="FFFFFF"/>
                <w:sz w:val="26"/>
                <w:szCs w:val="26"/>
                <w:lang w:eastAsia="nl-NL"/>
              </w:rPr>
            </w:pPr>
            <w:r>
              <w:rPr>
                <w:rFonts w:ascii="Calibri" w:hAnsi="Calibri" w:eastAsia="Times New Roman" w:cs="Calibri"/>
                <w:b/>
                <w:bCs/>
                <w:color w:val="FFFFFF"/>
                <w:sz w:val="26"/>
                <w:szCs w:val="26"/>
                <w:lang w:eastAsia="nl-NL"/>
              </w:rPr>
              <w:t xml:space="preserve"> Tarief </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OV0007</w:t>
            </w:r>
          </w:p>
        </w:tc>
        <w:tc>
          <w:tcPr>
            <w:tcW w:w="3873" w:type="dxa"/>
            <w:gridSpan w:val="2"/>
            <w:tcBorders>
              <w:top w:val="single" w:color="auto" w:sz="4" w:space="0"/>
              <w:left w:val="nil"/>
              <w:bottom w:val="nil"/>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Intercollegiaal overleg kort &gt;5 min</w:t>
            </w:r>
          </w:p>
        </w:tc>
        <w:tc>
          <w:tcPr>
            <w:tcW w:w="2183" w:type="dxa"/>
            <w:tcBorders>
              <w:top w:val="nil"/>
              <w:left w:val="nil"/>
              <w:bottom w:val="nil"/>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25,05</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OV0008</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Intercollegiaal overleg lang &gt;15 min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76,35</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402" w:hRule="atLeast"/>
        </w:trPr>
        <w:tc>
          <w:tcPr>
            <w:tcW w:w="2251"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OV0012</w:t>
            </w:r>
          </w:p>
        </w:tc>
        <w:tc>
          <w:tcPr>
            <w:tcW w:w="3873" w:type="dxa"/>
            <w:gridSpan w:val="2"/>
            <w:tcBorders>
              <w:top w:val="nil"/>
              <w:left w:val="nil"/>
              <w:bottom w:val="nil"/>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Niet-basispakketzorg consult</w:t>
            </w:r>
          </w:p>
        </w:tc>
        <w:tc>
          <w:tcPr>
            <w:tcW w:w="2183" w:type="dxa"/>
            <w:tcBorders>
              <w:top w:val="nil"/>
              <w:left w:val="nil"/>
              <w:bottom w:val="nil"/>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131,82</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TC0001</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5 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15,81</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TC0002</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15 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31,91</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TC0003</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30 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59,21</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TC0004</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45 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87,79</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TC0005</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60minuten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113,51</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TC0006</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75 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143,04</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TC0007</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90 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173,17</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TC0008</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inzet tolk 120 minuten</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266,52</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TC0009</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Reistijd tot 25 minuten - ggz</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34,76</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TC0010</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Reistijd vanaf 25 minuten – ggz</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89,63</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r>
        <w:tblPrEx>
          <w:tblCellMar>
            <w:top w:w="0" w:type="dxa"/>
            <w:left w:w="70" w:type="dxa"/>
            <w:bottom w:w="0" w:type="dxa"/>
            <w:right w:w="70" w:type="dxa"/>
          </w:tblCellMar>
        </w:tblPrEx>
        <w:trPr>
          <w:trHeight w:val="402" w:hRule="atLeast"/>
        </w:trPr>
        <w:tc>
          <w:tcPr>
            <w:tcW w:w="2251"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TC0016</w:t>
            </w:r>
          </w:p>
        </w:tc>
        <w:tc>
          <w:tcPr>
            <w:tcW w:w="3873"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Toeslag psychodiagnostisch onderzoek</w:t>
            </w:r>
          </w:p>
        </w:tc>
        <w:tc>
          <w:tcPr>
            <w:tcW w:w="2183"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sz w:val="24"/>
                <w:szCs w:val="24"/>
                <w:lang w:eastAsia="nl-NL"/>
              </w:rPr>
            </w:pPr>
            <w:r>
              <w:rPr>
                <w:rFonts w:ascii="Calibri" w:hAnsi="Calibri" w:eastAsia="Times New Roman" w:cs="Calibri"/>
                <w:color w:val="000000"/>
                <w:sz w:val="24"/>
                <w:szCs w:val="24"/>
                <w:lang w:eastAsia="nl-NL"/>
              </w:rPr>
              <w:t>181,48</w:t>
            </w:r>
          </w:p>
        </w:tc>
        <w:tc>
          <w:tcPr>
            <w:tcW w:w="146" w:type="dxa"/>
            <w:vAlign w:val="center"/>
          </w:tcPr>
          <w:p>
            <w:pPr>
              <w:spacing w:after="0" w:line="240" w:lineRule="auto"/>
              <w:rPr>
                <w:rFonts w:ascii="Times New Roman" w:hAnsi="Times New Roman" w:eastAsia="Times New Roman" w:cs="Times New Roman"/>
                <w:sz w:val="20"/>
                <w:szCs w:val="20"/>
                <w:lang w:eastAsia="nl-NL"/>
              </w:rPr>
            </w:pPr>
          </w:p>
        </w:tc>
      </w:tr>
    </w:tbl>
    <w:p/>
    <w:p>
      <w:pPr>
        <w:widowControl w:val="0"/>
        <w:tabs>
          <w:tab w:val="left" w:pos="-1152"/>
          <w:tab w:val="left" w:pos="432"/>
          <w:tab w:val="left" w:pos="720"/>
          <w:tab w:val="left" w:pos="1008"/>
          <w:tab w:val="left" w:pos="1296"/>
        </w:tabs>
        <w:autoSpaceDE w:val="0"/>
        <w:autoSpaceDN w:val="0"/>
        <w:spacing w:after="0" w:line="240" w:lineRule="auto"/>
        <w:rPr>
          <w:i/>
          <w:color w:val="FF0000"/>
        </w:rPr>
      </w:pPr>
    </w:p>
    <w:p>
      <w:pPr>
        <w:widowControl w:val="0"/>
        <w:tabs>
          <w:tab w:val="left" w:pos="-1152"/>
          <w:tab w:val="left" w:pos="432"/>
          <w:tab w:val="left" w:pos="720"/>
          <w:tab w:val="left" w:pos="1008"/>
          <w:tab w:val="left" w:pos="1296"/>
        </w:tabs>
        <w:autoSpaceDE w:val="0"/>
        <w:autoSpaceDN w:val="0"/>
        <w:spacing w:after="0" w:line="240" w:lineRule="auto"/>
        <w:rPr>
          <w:i/>
          <w:color w:val="FF0000"/>
        </w:rPr>
      </w:pPr>
      <w:bookmarkStart w:id="0" w:name="_GoBack"/>
      <w:bookmarkEnd w:id="0"/>
    </w:p>
    <w:sectPr>
      <w:footerReference r:id="rId5" w:type="default"/>
      <w:pgSz w:w="11906" w:h="16838"/>
      <w:pgMar w:top="1417" w:right="1417" w:bottom="1276"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ucida Grande">
    <w:altName w:val="Segoe UI"/>
    <w:panose1 w:val="00000000000000000000"/>
    <w:charset w:val="00"/>
    <w:family w:val="auto"/>
    <w:pitch w:val="default"/>
    <w:sig w:usb0="00000000" w:usb1="00000000" w:usb2="00000000" w:usb3="00000000" w:csb0="00000001" w:csb1="00000000"/>
  </w:font>
  <w:font w:name="PMingLiU">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Courier">
    <w:altName w:val="Courier New"/>
    <w:panose1 w:val="020704090202050204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869000"/>
      <w:docPartObj>
        <w:docPartGallery w:val="autotext"/>
      </w:docPartObj>
    </w:sdtPr>
    <w:sdtContent>
      <w:sdt>
        <w:sdtPr>
          <w:id w:val="-1769616900"/>
          <w:docPartObj>
            <w:docPartGallery w:val="autotext"/>
          </w:docPartObj>
        </w:sdtPr>
        <w:sdtContent>
          <w:p>
            <w:pPr>
              <w:pStyle w:val="9"/>
              <w:jc w:val="right"/>
            </w:pPr>
            <w:r>
              <w:t xml:space="preserve">Pagina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14ACF"/>
    <w:rsid w:val="00332634"/>
    <w:rsid w:val="00376E3C"/>
    <w:rsid w:val="0039135A"/>
    <w:rsid w:val="0039139E"/>
    <w:rsid w:val="003B5737"/>
    <w:rsid w:val="003D4958"/>
    <w:rsid w:val="00427C01"/>
    <w:rsid w:val="004312FA"/>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25B76"/>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97F7E"/>
    <w:rsid w:val="00EB3DD9"/>
    <w:rsid w:val="00ED2AC0"/>
    <w:rsid w:val="00F547FE"/>
    <w:rsid w:val="00F57555"/>
    <w:rsid w:val="00FB5216"/>
    <w:rsid w:val="00FF4BD3"/>
    <w:rsid w:val="193A7326"/>
    <w:rsid w:val="1F8B75D3"/>
    <w:rsid w:val="4BCB4A9E"/>
    <w:rsid w:val="50715632"/>
  </w:rsids>
  <m:mathPr>
    <m:mathFont m:val="Cambria Math"/>
    <m:brkBin m:val="before"/>
    <m:brkBinSub m:val="--"/>
    <m:smallFrac m:val="1"/>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N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8"/>
    <w:semiHidden/>
    <w:unhideWhenUsed/>
    <w:uiPriority w:val="99"/>
    <w:pPr>
      <w:spacing w:line="240" w:lineRule="auto"/>
    </w:pPr>
    <w:rPr>
      <w:sz w:val="20"/>
      <w:szCs w:val="20"/>
    </w:rPr>
  </w:style>
  <w:style w:type="paragraph" w:styleId="7">
    <w:name w:val="annotation subject"/>
    <w:basedOn w:val="6"/>
    <w:next w:val="6"/>
    <w:link w:val="19"/>
    <w:semiHidden/>
    <w:unhideWhenUsed/>
    <w:qFormat/>
    <w:uiPriority w:val="99"/>
    <w:rPr>
      <w:b/>
      <w:bCs/>
    </w:rPr>
  </w:style>
  <w:style w:type="character" w:styleId="8">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9">
    <w:name w:val="footer"/>
    <w:basedOn w:val="1"/>
    <w:link w:val="22"/>
    <w:unhideWhenUsed/>
    <w:uiPriority w:val="99"/>
    <w:pPr>
      <w:tabs>
        <w:tab w:val="center" w:pos="4536"/>
        <w:tab w:val="right" w:pos="9072"/>
      </w:tabs>
      <w:spacing w:after="0" w:line="240" w:lineRule="auto"/>
    </w:pPr>
  </w:style>
  <w:style w:type="character" w:styleId="10">
    <w:name w:val="footnote reference"/>
    <w:basedOn w:val="2"/>
    <w:semiHidden/>
    <w:unhideWhenUsed/>
    <w:uiPriority w:val="99"/>
    <w:rPr>
      <w:vertAlign w:val="superscript"/>
    </w:rPr>
  </w:style>
  <w:style w:type="paragraph" w:styleId="11">
    <w:name w:val="footnote text"/>
    <w:basedOn w:val="1"/>
    <w:link w:val="17"/>
    <w:semiHidden/>
    <w:unhideWhenUsed/>
    <w:uiPriority w:val="99"/>
    <w:pPr>
      <w:spacing w:after="0" w:line="240" w:lineRule="auto"/>
    </w:pPr>
    <w:rPr>
      <w:sz w:val="20"/>
      <w:szCs w:val="20"/>
    </w:rPr>
  </w:style>
  <w:style w:type="paragraph" w:styleId="12">
    <w:name w:val="header"/>
    <w:basedOn w:val="1"/>
    <w:link w:val="21"/>
    <w:unhideWhenUsed/>
    <w:uiPriority w:val="99"/>
    <w:pPr>
      <w:tabs>
        <w:tab w:val="center" w:pos="4536"/>
        <w:tab w:val="right" w:pos="9072"/>
      </w:tabs>
      <w:spacing w:after="0" w:line="240" w:lineRule="auto"/>
    </w:pPr>
  </w:style>
  <w:style w:type="character" w:styleId="13">
    <w:name w:val="Hyperlink"/>
    <w:basedOn w:val="2"/>
    <w:unhideWhenUsed/>
    <w:uiPriority w:val="99"/>
    <w:rPr>
      <w:color w:val="0563C1" w:themeColor="hyperlink"/>
      <w:u w:val="single"/>
      <w14:textFill>
        <w14:solidFill>
          <w14:schemeClr w14:val="hlink"/>
        </w14:solidFill>
      </w14:textFill>
    </w:rPr>
  </w:style>
  <w:style w:type="character" w:styleId="14">
    <w:name w:val="Strong"/>
    <w:basedOn w:val="2"/>
    <w:qFormat/>
    <w:uiPriority w:val="22"/>
    <w:rPr>
      <w:b/>
      <w:bCs/>
    </w:rPr>
  </w:style>
  <w:style w:type="character" w:customStyle="1" w:styleId="15">
    <w:name w:val="Ballontekst Teken"/>
    <w:basedOn w:val="2"/>
    <w:semiHidden/>
    <w:uiPriority w:val="99"/>
    <w:rPr>
      <w:rFonts w:ascii="Lucida Grande" w:hAnsi="Lucida Grande"/>
      <w:sz w:val="18"/>
      <w:szCs w:val="18"/>
    </w:rPr>
  </w:style>
  <w:style w:type="paragraph" w:styleId="16">
    <w:name w:val="List Paragraph"/>
    <w:basedOn w:val="1"/>
    <w:qFormat/>
    <w:uiPriority w:val="34"/>
    <w:pPr>
      <w:ind w:left="720"/>
      <w:contextualSpacing/>
    </w:pPr>
  </w:style>
  <w:style w:type="character" w:customStyle="1" w:styleId="17">
    <w:name w:val="Voetnoottekst Char"/>
    <w:basedOn w:val="2"/>
    <w:link w:val="11"/>
    <w:semiHidden/>
    <w:qFormat/>
    <w:uiPriority w:val="99"/>
    <w:rPr>
      <w:sz w:val="20"/>
      <w:szCs w:val="20"/>
    </w:rPr>
  </w:style>
  <w:style w:type="character" w:customStyle="1" w:styleId="18">
    <w:name w:val="Tekst opmerking Char"/>
    <w:basedOn w:val="2"/>
    <w:link w:val="6"/>
    <w:semiHidden/>
    <w:qFormat/>
    <w:uiPriority w:val="99"/>
    <w:rPr>
      <w:sz w:val="20"/>
      <w:szCs w:val="20"/>
    </w:rPr>
  </w:style>
  <w:style w:type="character" w:customStyle="1" w:styleId="19">
    <w:name w:val="Onderwerp van opmerking Char"/>
    <w:basedOn w:val="18"/>
    <w:link w:val="7"/>
    <w:semiHidden/>
    <w:qFormat/>
    <w:uiPriority w:val="99"/>
    <w:rPr>
      <w:b/>
      <w:bCs/>
      <w:sz w:val="20"/>
      <w:szCs w:val="20"/>
    </w:rPr>
  </w:style>
  <w:style w:type="character" w:customStyle="1" w:styleId="20">
    <w:name w:val="Ballontekst Char"/>
    <w:basedOn w:val="2"/>
    <w:link w:val="4"/>
    <w:semiHidden/>
    <w:qFormat/>
    <w:uiPriority w:val="99"/>
    <w:rPr>
      <w:rFonts w:ascii="Segoe UI" w:hAnsi="Segoe UI" w:cs="Segoe UI"/>
      <w:sz w:val="18"/>
      <w:szCs w:val="18"/>
    </w:rPr>
  </w:style>
  <w:style w:type="character" w:customStyle="1" w:styleId="21">
    <w:name w:val="Koptekst Char"/>
    <w:basedOn w:val="2"/>
    <w:link w:val="12"/>
    <w:uiPriority w:val="99"/>
  </w:style>
  <w:style w:type="character" w:customStyle="1" w:styleId="22">
    <w:name w:val="Voettekst Char"/>
    <w:basedOn w:val="2"/>
    <w:link w:val="9"/>
    <w:qFormat/>
    <w:uiPriority w:val="99"/>
  </w:style>
  <w:style w:type="paragraph" w:customStyle="1" w:styleId="23">
    <w:name w:val="Revision"/>
    <w:hidden/>
    <w:semiHidden/>
    <w:uiPriority w:val="99"/>
    <w:pPr>
      <w:spacing w:after="0" w:line="240" w:lineRule="auto"/>
    </w:pPr>
    <w:rPr>
      <w:rFonts w:asciiTheme="minorHAnsi" w:hAnsiTheme="minorHAnsi" w:eastAsiaTheme="minorHAnsi" w:cstheme="minorBidi"/>
      <w:sz w:val="22"/>
      <w:szCs w:val="22"/>
      <w:lang w:val="nl-NL" w:eastAsia="en-US" w:bidi="ar-SA"/>
    </w:rPr>
  </w:style>
  <w:style w:type="paragraph" w:styleId="24">
    <w:name w:val="No Spacing"/>
    <w:qFormat/>
    <w:uiPriority w:val="1"/>
    <w:pPr>
      <w:spacing w:after="0" w:line="240" w:lineRule="auto"/>
    </w:pPr>
    <w:rPr>
      <w:rFonts w:asciiTheme="minorHAnsi" w:hAnsiTheme="minorHAnsi" w:eastAsiaTheme="minorHAnsi" w:cstheme="minorBidi"/>
      <w:sz w:val="22"/>
      <w:szCs w:val="22"/>
      <w:lang w:val="nl-NL"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D2C04-6007-47C4-ABB2-F083B883CE4C}">
  <ds:schemaRefs/>
</ds:datastoreItem>
</file>

<file path=customXml/itemProps2.xml><?xml version="1.0" encoding="utf-8"?>
<ds:datastoreItem xmlns:ds="http://schemas.openxmlformats.org/officeDocument/2006/customXml" ds:itemID="{44DCC9AA-9732-49C1-8AB6-1ED82D1858BC}">
  <ds:schemaRefs/>
</ds:datastoreItem>
</file>

<file path=customXml/itemProps3.xml><?xml version="1.0" encoding="utf-8"?>
<ds:datastoreItem xmlns:ds="http://schemas.openxmlformats.org/officeDocument/2006/customXml" ds:itemID="{62167076-C9FB-43D9-ABCD-DA3EC8ED7FEE}">
  <ds:schemaRefs/>
</ds:datastoreItem>
</file>

<file path=customXml/itemProps4.xml><?xml version="1.0" encoding="utf-8"?>
<ds:datastoreItem xmlns:ds="http://schemas.openxmlformats.org/officeDocument/2006/customXml" ds:itemID="{4A66215B-1197-4746-8BC9-CE6EC3063C2F}">
  <ds:schemaRefs/>
</ds:datastoreItem>
</file>

<file path=docProps/app.xml><?xml version="1.0" encoding="utf-8"?>
<Properties xmlns="http://schemas.openxmlformats.org/officeDocument/2006/extended-properties" xmlns:vt="http://schemas.openxmlformats.org/officeDocument/2006/docPropsVTypes">
  <Template>Normal</Template>
  <Pages>7</Pages>
  <Words>1630</Words>
  <Characters>8967</Characters>
  <Lines>74</Lines>
  <Paragraphs>21</Paragraphs>
  <TotalTime>0</TotalTime>
  <ScaleCrop>false</ScaleCrop>
  <LinksUpToDate>false</LinksUpToDate>
  <CharactersWithSpaces>10576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2022-12-08T11:12:00Z</dcterms:created>
  <dc:creator>Suzanne Stomp</dc:creator>
  <cp:lastModifiedBy>Nicole Ridden</cp:lastModifiedBy>
  <dcterms:modified xsi:type="dcterms:W3CDTF">2024-01-01T15:00:50Z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y fmtid="{D5CDD505-2E9C-101B-9397-08002B2CF9AE}" pid="3" name="KSOProductBuildVer">
    <vt:lpwstr>1033-12.2.0.13359</vt:lpwstr>
  </property>
  <property fmtid="{D5CDD505-2E9C-101B-9397-08002B2CF9AE}" pid="4" name="ICV">
    <vt:lpwstr>ACCFD5EFE83246569E67F0A6F6295609</vt:lpwstr>
  </property>
</Properties>
</file>